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</w:t>
      </w:r>
    </w:p>
    <w:p>
      <w:r>
        <w:rPr>
          <w:rFonts w:ascii="宋体" w:hAnsi="宋体" w:eastAsia="宋体"/>
          <w:sz w:val="24"/>
        </w:rPr>
        <w:t>（德）埃瑞克·G.菲吕博顿（Eirik G.Furubotn），（德）鲁道夫·瑞切特（Rudolf Richter）编；孙经纬译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（德）埃瑞克·G.菲吕博顿（Eirik G.Furubotn），（德）鲁道夫·瑞切特（Rudolf Richter）编；孙经纬译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本书出售、求购地址：https://www.jiaokey.com/book/detail/10017570.html</w:t>
      </w:r>
    </w:p>
    <w:p>
      <w:r>
        <w:t>更多相关图书推荐：https://www.jiaokey.com</w:t>
      </w:r>
    </w:p>
    <w:p>
      <w:r>
        <w:t>（德）埃瑞克·G.菲吕博顿（Eirik G.Furubotn），（德）鲁道夫·瑞切特（Rudolf Richter）编；孙经纬译 其他作品：https://www.jiaokey.com/tag/（德）埃瑞克·G.菲吕博顿（Eirik G.Furubotn），（德）鲁道夫·瑞切特（Rudolf Richter）编；孙经纬译.html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关键词搜索：https://www.jiaokey.com/tag/新制度经济学.html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