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饭店业管理财会</w:t>
      </w:r>
    </w:p>
    <w:p>
      <w:r>
        <w:rPr>
          <w:rFonts w:ascii="宋体" w:hAnsi="宋体" w:eastAsia="宋体"/>
          <w:sz w:val="24"/>
        </w:rPr>
        <w:t>（美）雷蒙特·S·施密格尔著；徐庆桢等译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饭店业管理财会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（美）雷蒙特·S·施密格尔著；徐庆桢等译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本书出售、求购地址：https://www.jiaokey.com/book/detail/10020137.html</w:t>
      </w:r>
    </w:p>
    <w:p>
      <w:r>
        <w:t>更多相关图书推荐：https://www.jiaokey.com</w:t>
      </w:r>
    </w:p>
    <w:p>
      <w:r>
        <w:t>（美）雷蒙特·S·施密格尔著；徐庆桢等译 其他作品：https://www.jiaokey.com/tag/（美）雷蒙特·S·施密格尔著；徐庆桢等译.html</w:t>
      </w:r>
    </w:p>
    <w:p>
      <w:r>
        <w:t>北京市：旅游教育出版社 出版图书：https://www.jiaokey.com/tag/北京市：旅游教育出版社.html</w:t>
      </w:r>
    </w:p>
    <w:p>
      <w:r>
        <w:t>关键词搜索：https://www.jiaokey.com/tag/饭店业管理财会.html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