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外商投资企业执行新财务制度讲解</w:t>
      </w:r>
    </w:p>
    <w:p>
      <w:r>
        <w:rPr>
          <w:rFonts w:ascii="宋体" w:hAnsi="宋体" w:eastAsia="宋体"/>
          <w:sz w:val="24"/>
        </w:rPr>
        <w:t>金莲淑，虞列贵主编；王学强等编写；财政部工业交通司编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外商投资企业执行新财务制度讲解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金莲淑，虞列贵主编；王学强等编写；财政部工业交通司编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本书出售、求购地址：https://www.jiaokey.com/book/detail/10039409.html</w:t>
      </w:r>
    </w:p>
    <w:p>
      <w:r>
        <w:t>更多相关图书推荐：https://www.jiaokey.com</w:t>
      </w:r>
    </w:p>
    <w:p>
      <w:r>
        <w:t>金莲淑，虞列贵主编；王学强等编写；财政部工业交通司编 其他作品：https://www.jiaokey.com/tag/金莲淑，虞列贵主编；王学强等编写；财政部工业交通司编.html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关键词搜索：https://www.jiaokey.com/tag/外商投资企业执行新财务制度讲解.html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