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企业会计准则及指南  1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企业会计准则及指南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本书出售、求购地址：https://www.jiaokey.com/book/detail/10039740.html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关键词搜索：https://www.jiaokey.com/tag/企业会计准则及指南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