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国际贸易前沿问题</w:t>
      </w:r>
    </w:p>
    <w:p>
      <w:r>
        <w:rPr>
          <w:rFonts w:ascii="宋体" w:hAnsi="宋体" w:eastAsia="宋体"/>
          <w:sz w:val="24"/>
        </w:rPr>
        <w:t>（英）大卫·格林纳韦（David Greenaway）主编；冯雷译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（英）大卫·格林纳韦（David Greenaway）主编；冯雷译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北京：中国税务出版社；北京腾图电子出版社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本书出售、求购地址：https://www.jiaokey.com/book/detail/10041368.html</w:t>
      </w:r>
    </w:p>
    <w:p>
      <w:r>
        <w:t>更多相关图书推荐：https://www.jiaokey.com</w:t>
      </w:r>
    </w:p>
    <w:p>
      <w:r>
        <w:t>（英）大卫·格林纳韦（David Greenaway）主编；冯雷译 其他作品：https://www.jiaokey.com/tag/（英）大卫·格林纳韦（David Greenaway）主编；冯雷译.html</w:t>
      </w:r>
    </w:p>
    <w:p>
      <w:r>
        <w:t>北京：中国税务出版社；北京腾图电子出版社 出版图书：https://www.jiaokey.com/tag/北京：中国税务出版社；北京腾图电子出版社.html</w:t>
      </w:r>
    </w:p>
    <w:p>
      <w:r>
        <w:t>关键词搜索：https://www.jiaokey.com/tag/国际贸易前沿问题.html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