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恢复我国关贸总协定地位的影响和对策</w:t>
      </w:r>
    </w:p>
    <w:p>
      <w:r>
        <w:rPr>
          <w:rFonts w:ascii="宋体" w:hAnsi="宋体" w:eastAsia="宋体"/>
          <w:sz w:val="24"/>
        </w:rPr>
        <w:t>沈柏年主编；国务院研究室财金贸易局组织编写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恢复我国关贸总协定地位的影响和对策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沈柏年主编；国务院研究室财金贸易局组织编写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本书出售、求购地址：https://www.jiaokey.com/book/detail/10041632.html</w:t>
      </w:r>
    </w:p>
    <w:p>
      <w:r>
        <w:t>更多相关图书推荐：https://www.jiaokey.com</w:t>
      </w:r>
    </w:p>
    <w:p>
      <w:r>
        <w:t>沈柏年主编；国务院研究室财金贸易局组织编写 其他作品：https://www.jiaokey.com/tag/沈柏年主编；国务院研究室财金贸易局组织编写.html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关键词搜索：https://www.jiaokey.com/tag/恢复我国关贸总协定地位的影响和对策.html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