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法人犯罪办案实务432问</w:t>
      </w:r>
    </w:p>
    <w:p>
      <w:r>
        <w:rPr>
          <w:rFonts w:ascii="宋体" w:hAnsi="宋体" w:eastAsia="宋体"/>
          <w:sz w:val="24"/>
        </w:rPr>
        <w:t>薛伟宏，辛文主编；法人犯罪办案实务丛书编写组编写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法人犯罪办案实务432问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薛伟宏，辛文主编；法人犯罪办案实务丛书编写组编写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本书出售、求购地址：https://www.jiaokey.com/book/detail/10067368.html</w:t>
      </w:r>
    </w:p>
    <w:p>
      <w:r>
        <w:t>更多相关图书推荐：https://www.jiaokey.com</w:t>
      </w:r>
    </w:p>
    <w:p>
      <w:r>
        <w:t>薛伟宏，辛文主编；法人犯罪办案实务丛书编写组编写 其他作品：https://www.jiaokey.com/tag/薛伟宏，辛文主编；法人犯罪办案实务丛书编写组编写.html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关键词搜索：https://www.jiaokey.com/tag/法人犯罪办案实务432问.html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