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贪污贿赂罪的认定与对策</w:t>
      </w:r>
    </w:p>
    <w:p>
      <w:r>
        <w:rPr>
          <w:rFonts w:ascii="宋体" w:hAnsi="宋体" w:eastAsia="宋体"/>
          <w:sz w:val="24"/>
        </w:rPr>
        <w:t>魏平雄  王然冀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贪污贿赂罪的认定与对策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魏平雄  王然冀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本书出售、求购地址：https://www.jiaokey.com/book/detail/10067386.html</w:t>
      </w:r>
    </w:p>
    <w:p>
      <w:r>
        <w:t>更多相关图书推荐：https://www.jiaokey.com</w:t>
      </w:r>
    </w:p>
    <w:p>
      <w:r>
        <w:t>魏平雄  王然冀 其他作品：https://www.jiaokey.com/tag/魏平雄  王然冀.html</w:t>
      </w:r>
    </w:p>
    <w:p>
      <w:r>
        <w:t>群众出版社 出版图书：https://www.jiaokey.com/tag/群众出版社.html</w:t>
      </w:r>
    </w:p>
    <w:p>
      <w:r>
        <w:t>关键词搜索：https://www.jiaokey.com/tag/贪污贿赂罪的认定与对策.html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