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最新法律文书写作·格式·实例应用大全</w:t>
      </w:r>
    </w:p>
    <w:p>
      <w:r>
        <w:rPr>
          <w:rFonts w:ascii="宋体" w:hAnsi="宋体" w:eastAsia="宋体"/>
          <w:sz w:val="24"/>
        </w:rPr>
        <w:t>于绍元主编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最新法律文书写作·格式·实例应用大全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于绍元主编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本书出售、求购地址：https://www.jiaokey.com/book/detail/10067460.html</w:t>
      </w:r>
    </w:p>
    <w:p>
      <w:r>
        <w:t>更多相关图书推荐：https://www.jiaokey.com</w:t>
      </w:r>
    </w:p>
    <w:p>
      <w:r>
        <w:t>于绍元主编 其他作品：https://www.jiaokey.com/tag/于绍元主编.html</w:t>
      </w:r>
    </w:p>
    <w:p>
      <w:r>
        <w:t>北京：中国法制 出版图书：https://www.jiaokey.com/tag/北京：中国法制.html</w:t>
      </w:r>
    </w:p>
    <w:p>
      <w:r>
        <w:t>关键词搜索：https://www.jiaokey.com/tag/最新法律文书写作·格式·实例应用大全.html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