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大气超长期过程的性质</w:t>
      </w:r>
    </w:p>
    <w:p>
      <w:r>
        <w:rPr>
          <w:rFonts w:ascii="宋体" w:hAnsi="宋体" w:eastAsia="宋体"/>
          <w:sz w:val="24"/>
        </w:rPr>
        <w:t>（苏）穆萨耶梁（Ш.А.Мусаелян）著；刘树泽，杨玉梅译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大气超长期过程的性质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（苏）穆萨耶梁（Ш.А.Мусаелян）著；刘树泽，杨玉梅译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本书出售、求购地址：https://www.jiaokey.com/book/detail/10093261.html</w:t>
      </w:r>
    </w:p>
    <w:p>
      <w:r>
        <w:t>更多相关图书推荐：https://www.jiaokey.com</w:t>
      </w:r>
    </w:p>
    <w:p>
      <w:r>
        <w:t>（苏）穆萨耶梁（Ш.А.Мусаелян）著；刘树泽，杨玉梅译 其他作品：https://www.jiaokey.com/tag/（苏）穆萨耶梁（Ш.А.Мусаелян）著；刘树泽，杨玉梅译.html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关键词搜索：https://www.jiaokey.com/tag/大气超长期过程的性质.html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