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西土取金：西部大开发的政策背景与商业机遇</w:t>
      </w:r>
    </w:p>
    <w:p>
      <w:r>
        <w:rPr>
          <w:rFonts w:ascii="宋体" w:hAnsi="宋体" w:eastAsia="宋体"/>
          <w:sz w:val="24"/>
        </w:rPr>
        <w:t>杜平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西土取金：西部大开发的政策背景与商业机遇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本书出售、求购地址：https://www.jiaokey.com/book/detail/10096902.html</w:t>
      </w:r>
    </w:p>
    <w:p>
      <w:r>
        <w:t>更多相关图书推荐：https://www.jiaokey.com</w:t>
      </w:r>
    </w:p>
    <w:p>
      <w:r>
        <w:t>杜平 其他作品：https://www.jiaokey.com/tag/杜平.html</w:t>
      </w:r>
    </w:p>
    <w:p>
      <w:r>
        <w:t>关键词搜索：https://www.jiaokey.com/tag/西土取金：西部大开发的政策背景与商业机遇.html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