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第十九卷  公司上市 第二十卷产权市场</w:t>
      </w:r>
    </w:p>
    <w:p>
      <w:r>
        <w:rPr>
          <w:rFonts w:ascii="宋体" w:hAnsi="宋体" w:eastAsia="宋体"/>
          <w:sz w:val="24"/>
        </w:rPr>
        <w:t>孙效良 曹凤岐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第十九卷  公司上市 第二十卷产权市场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 曹凤岐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本书出售、求购地址：https://www.jiaokey.com/book/detail/10103440.html</w:t>
      </w:r>
    </w:p>
    <w:p>
      <w:r>
        <w:t>更多相关图书推荐：https://www.jiaokey.com</w:t>
      </w:r>
    </w:p>
    <w:p>
      <w:r>
        <w:t>孙效良 曹凤岐 其他作品：https://www.jiaokey.com/tag/孙效良 曹凤岐.html</w:t>
      </w:r>
    </w:p>
    <w:p>
      <w:r>
        <w:t>山西人民出版社 出版图书：https://www.jiaokey.com/tag/山西人民出版社.html</w:t>
      </w:r>
    </w:p>
    <w:p>
      <w:r>
        <w:t>关键词搜索：https://www.jiaokey.com/tag/中国市场经济建设全书  第十九卷  公司上市 第二十卷产权市场.html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