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浮选原理</w:t>
      </w:r>
    </w:p>
    <w:p>
      <w:r>
        <w:rPr>
          <w:rFonts w:ascii="宋体" w:hAnsi="宋体" w:eastAsia="宋体"/>
          <w:sz w:val="24"/>
        </w:rPr>
        <w:t>K.L.萨赛蓝德等著；昆明工学院选矿教研组译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K.L.萨赛蓝德等著；昆明工学院选矿教研组译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本书出售、求购地址：https://www.jiaokey.com/book/detail/10130264.html</w:t>
      </w:r>
    </w:p>
    <w:p>
      <w:r>
        <w:t>更多相关图书推荐：https://www.jiaokey.com</w:t>
      </w:r>
    </w:p>
    <w:p>
      <w:r>
        <w:t>K.L.萨赛蓝德等著；昆明工学院选矿教研组译 其他作品：https://www.jiaokey.com/tag/K.L.萨赛蓝德等著；昆明工学院选矿教研组译.html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关键词搜索：https://www.jiaokey.com/tag/浮选原理.html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