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无线电控制</w:t>
      </w:r>
    </w:p>
    <w:p>
      <w:r>
        <w:rPr>
          <w:rFonts w:ascii="宋体" w:hAnsi="宋体" w:eastAsia="宋体"/>
          <w:sz w:val="24"/>
        </w:rPr>
        <w:t>（苏）季普金.В.Н.，（苏）维采尔，В.А.著；张成明，燕公韬译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（苏）季普金.В.Н.，（苏）维采尔，В.А.著；张成明，燕公韬译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本书出售、求购地址：https://www.jiaokey.com/book/detail/10152886.html</w:t>
      </w:r>
    </w:p>
    <w:p>
      <w:r>
        <w:t>更多相关图书推荐：https://www.jiaokey.com</w:t>
      </w:r>
    </w:p>
    <w:p>
      <w:r>
        <w:t>（苏）季普金.В.Н.，（苏）维采尔，В.А.著；张成明，燕公韬译 其他作品：https://www.jiaokey.com/tag/（苏）季普金.В.Н.，（苏）维采尔，В.А.著；张成明，燕公韬译.html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关键词搜索：https://www.jiaokey.com/tag/无线电控制.html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