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船舶原理手册</w:t>
      </w:r>
    </w:p>
    <w:p>
      <w:r>
        <w:rPr>
          <w:rFonts w:ascii="宋体" w:hAnsi="宋体" w:eastAsia="宋体"/>
          <w:sz w:val="24"/>
        </w:rPr>
        <w:t>（苏）勃拉柯维新斯基，С.Н.著；金桂青等译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（苏）勃拉柯维新斯基，С.Н.著；金桂青等译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本书出售、求购地址：https://www.jiaokey.com/book/detail/10190334.html</w:t>
      </w:r>
    </w:p>
    <w:p>
      <w:r>
        <w:t>更多相关图书推荐：https://www.jiaokey.com</w:t>
      </w:r>
    </w:p>
    <w:p>
      <w:r>
        <w:t>（苏）勃拉柯维新斯基，С.Н.著；金桂青等译 其他作品：https://www.jiaokey.com/tag/（苏）勃拉柯维新斯基，С.Н.著；金桂青等译.html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关键词搜索：https://www.jiaokey.com/tag/船舶原理手册.html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