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巴比伦皇帝哈漠拉比法典与古巴比伦法解说</w:t>
      </w:r>
    </w:p>
    <w:p>
      <w:r>
        <w:rPr>
          <w:rFonts w:ascii="宋体" w:hAnsi="宋体" w:eastAsia="宋体"/>
          <w:sz w:val="24"/>
        </w:rPr>
        <w:t>（苏）季雅柯诺夫（И.М.Двяконов），（苏）马加津涅尔（Я.М.Магазинер）译注；中国人民大学国家与法权历史教研室译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巴比伦皇帝哈漠拉比法典与古巴比伦法解说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（苏）季雅柯诺夫（И.М.Двяконов），（苏）马加津涅尔（Я.М.Магазинер）译注；中国人民大学国家与法权历史教研室译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本书出售、求购地址：https://www.jiaokey.com/book/detail/10242677.html</w:t>
      </w:r>
    </w:p>
    <w:p>
      <w:r>
        <w:t>更多相关图书推荐：https://www.jiaokey.com</w:t>
      </w:r>
    </w:p>
    <w:p>
      <w:r>
        <w:t>（苏）季雅柯诺夫（И.М.Двяконов），（苏）马加津涅尔（Я.М.Магазинер）译注；中国人民大学国家与法权历史教研室译 其他作品：https://www.jiaokey.com/tag/（苏）季雅柯诺夫（И.М.Двяконов），（苏）马加津涅尔（Я.М.Магазинер）译注；中国人民大学国家与法权历史教研室译.html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关键词搜索：https://www.jiaokey.com/tag/巴比伦皇帝哈漠拉比法典与古巴比伦法解说.html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