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资本主义国家发展不平衡与它们之间矛盾的尖锐化</w:t>
      </w:r>
    </w:p>
    <w:p>
      <w:r>
        <w:rPr>
          <w:rFonts w:ascii="宋体" w:hAnsi="宋体" w:eastAsia="宋体"/>
          <w:sz w:val="24"/>
        </w:rPr>
        <w:t>（苏）切普拉科夫（В.А.Чепраков）撰；王济庚，王以铸译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资本主义国家发展不平衡与它们之间矛盾的尖锐化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（苏）切普拉科夫（В.А.Чепраков）撰；王济庚，王以铸译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本书出售、求购地址：https://www.jiaokey.com/book/detail/10243258.html</w:t>
      </w:r>
    </w:p>
    <w:p>
      <w:r>
        <w:t>更多相关图书推荐：https://www.jiaokey.com</w:t>
      </w:r>
    </w:p>
    <w:p>
      <w:r>
        <w:t>（苏）切普拉科夫（В.А.Чепраков）撰；王济庚，王以铸译 其他作品：https://www.jiaokey.com/tag/（苏）切普拉科夫（В.А.Чепраков）撰；王济庚，王以铸译.html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关键词搜索：https://www.jiaokey.com/tag/资本主义国家发展不平衡与它们之间矛盾的尖锐化.html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