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差分方程的稳定性</w:t>
      </w:r>
    </w:p>
    <w:p>
      <w:r>
        <w:rPr>
          <w:rFonts w:ascii="宋体" w:hAnsi="宋体" w:eastAsia="宋体"/>
          <w:sz w:val="24"/>
        </w:rPr>
        <w:t>（苏）李亚宾涅基，В.С.（苏）菲里波夫，А.Х.著；吴文达等译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差分方程的稳定性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（苏）李亚宾涅基，В.С.（苏）菲里波夫，А.Х.著；吴文达等译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本书出售、求购地址：https://www.jiaokey.com/book/detail/10249650.html</w:t>
      </w:r>
    </w:p>
    <w:p>
      <w:r>
        <w:t>更多相关图书推荐：https://www.jiaokey.com</w:t>
      </w:r>
    </w:p>
    <w:p>
      <w:r>
        <w:t>（苏）李亚宾涅基，В.С.（苏）菲里波夫，А.Х.著；吴文达等译 其他作品：https://www.jiaokey.com/tag/（苏）李亚宾涅基，В.С.（苏）菲里波夫，А.Х.著；吴文达等译.html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关键词搜索：https://www.jiaokey.com/tag/差分方程的稳定性.html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