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高频热处理</w:t>
      </w:r>
    </w:p>
    <w:p>
      <w:r>
        <w:rPr>
          <w:rFonts w:ascii="宋体" w:hAnsi="宋体" w:eastAsia="宋体"/>
          <w:sz w:val="24"/>
        </w:rPr>
        <w:t>（苏）高洛文，Г.Х.，（苏）查美特宁，М.М.著；王东升译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（苏）高洛文，Г.Х.，（苏）查美特宁，М.М.著；王东升译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本书出售、求购地址：https://www.jiaokey.com/book/detail/10251007.html</w:t>
      </w:r>
    </w:p>
    <w:p>
      <w:r>
        <w:t>更多相关图书推荐：https://www.jiaokey.com</w:t>
      </w:r>
    </w:p>
    <w:p>
      <w:r>
        <w:t>（苏）高洛文，Г.Х.，（苏）查美特宁，М.М.著；王东升译 其他作品：https://www.jiaokey.com/tag/（苏）高洛文，Г.Х.，（苏）查美特宁，М.М.著；王东升译.html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关键词搜索：https://www.jiaokey.com/tag/高频热处理.html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