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  第1编第2章</w:t>
      </w:r>
    </w:p>
    <w:p>
      <w:r>
        <w:rPr>
          <w:rFonts w:ascii="宋体" w:hAnsi="宋体" w:eastAsia="宋体"/>
          <w:sz w:val="24"/>
        </w:rPr>
        <w:t>康·格·鲁柯夫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  第1编第2章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康·格·鲁柯夫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中国人民大学农业经济教研室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本书出售、求购地址：https://www.jiaokey.com/book/detail/10270917.html</w:t>
      </w:r>
    </w:p>
    <w:p>
      <w:r>
        <w:t>更多相关图书推荐：https://www.jiaokey.com</w:t>
      </w:r>
    </w:p>
    <w:p>
      <w:r>
        <w:t>康·格·鲁柯夫 其他作品：https://www.jiaokey.com/tag/康·格·鲁柯夫.html</w:t>
      </w:r>
    </w:p>
    <w:p>
      <w:r>
        <w:t>中国人民大学农业经济教研室 出版图书：https://www.jiaokey.com/tag/中国人民大学农业经济教研室.html</w:t>
      </w:r>
    </w:p>
    <w:p>
      <w:r>
        <w:t>关键词搜索：https://www.jiaokey.com/tag/农业经济  第1编第2章.html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