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论我国多党合作和政治协商制度面临的局势及其对策</w:t>
      </w:r>
    </w:p>
    <w:p>
      <w:r>
        <w:rPr>
          <w:rFonts w:ascii="宋体" w:hAnsi="宋体" w:eastAsia="宋体"/>
          <w:sz w:val="24"/>
        </w:rPr>
        <w:t>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论我国多党合作和政治协商制度面临的局势及其对策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中共陕西省委统战部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本书出售、求购地址：https://www.jiaokey.com/book/detail/10272741.html</w:t>
      </w:r>
    </w:p>
    <w:p>
      <w:r>
        <w:t>更多相关图书推荐：https://www.jiaokey.com</w:t>
      </w:r>
    </w:p>
    <w:p>
      <w:r>
        <w:t>王康 其他作品：https://www.jiaokey.com/tag/王康.html</w:t>
      </w:r>
    </w:p>
    <w:p>
      <w:r>
        <w:t>中共陕西省委统战部 出版图书：https://www.jiaokey.com/tag/中共陕西省委统战部.html</w:t>
      </w:r>
    </w:p>
    <w:p>
      <w:r>
        <w:t>关键词搜索：https://www.jiaokey.com/tag/纪念中国共产党成立七十周年学术讨论会  论我国多党合作和政治协商制度面临的局势及其对策.html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