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 IBM PC的原理与应用  （续篇）</w:t>
      </w:r>
    </w:p>
    <w:p>
      <w:r>
        <w:rPr>
          <w:rFonts w:ascii="宋体" w:hAnsi="宋体" w:eastAsia="宋体"/>
          <w:sz w:val="24"/>
        </w:rPr>
        <w:t>张福炎  周根林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 IBM PC的原理与应用  （续篇）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张福炎  周根林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本书出售、求购地址：https://www.jiaokey.com/book/detail/10279857.html</w:t>
      </w:r>
    </w:p>
    <w:p>
      <w:r>
        <w:t>更多相关图书推荐：https://www.jiaokey.com</w:t>
      </w:r>
    </w:p>
    <w:p>
      <w:r>
        <w:t>张福炎  周根林 其他作品：https://www.jiaokey.com/tag/张福炎  周根林.html</w:t>
      </w:r>
    </w:p>
    <w:p>
      <w:r>
        <w:t>南京大学出版社 出版图书：https://www.jiaokey.com/tag/南京大学出版社.html</w:t>
      </w:r>
    </w:p>
    <w:p>
      <w:r>
        <w:t>关键词搜索：https://www.jiaokey.com/tag/微型计算机 IBM PC的原理与应用  （续篇）.html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