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大清帝国三百年战争风云录  上</w:t>
      </w:r>
    </w:p>
    <w:p>
      <w:r>
        <w:rPr>
          <w:rFonts w:ascii="宋体" w:hAnsi="宋体" w:eastAsia="宋体"/>
          <w:sz w:val="24"/>
        </w:rPr>
        <w:t>杨东雄，杨少波主编；杨立平，魏桂云副主编；汪涛，魏宏利，陈立民等编著；吴丹青责任编辑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大清帝国三百年战争风云录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杨东雄，杨少波主编；杨立平，魏桂云副主编；汪涛，魏宏利，陈立民等编著；吴丹青责任编辑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本书出售、求购地址：https://www.jiaokey.com/book/detail/10292665.html</w:t>
      </w:r>
    </w:p>
    <w:p>
      <w:r>
        <w:t>更多相关图书推荐：https://www.jiaokey.com</w:t>
      </w:r>
    </w:p>
    <w:p>
      <w:r>
        <w:t>杨东雄，杨少波主编；杨立平，魏桂云副主编；汪涛，魏宏利，陈立民等编著；吴丹青责任编辑 其他作品：https://www.jiaokey.com/tag/杨东雄，杨少波主编；杨立平，魏桂云副主编；汪涛，魏宏利，陈立民等编著；吴丹青责任编辑.html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关键词搜索：https://www.jiaokey.com/tag/大清帝国三百年战争风云录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