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定式要领</w:t>
      </w:r>
    </w:p>
    <w:p>
      <w:r>
        <w:rPr>
          <w:rFonts w:ascii="宋体" w:hAnsi="宋体" w:eastAsia="宋体"/>
          <w:sz w:val="24"/>
        </w:rPr>
        <w:t>吴清源著；吴清仪译中国围棋协会审校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定式要领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吴清源著；吴清仪译中国围棋协会审校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本书出售、求购地址：https://www.jiaokey.com/book/detail/10296100.html</w:t>
      </w:r>
    </w:p>
    <w:p>
      <w:r>
        <w:t>更多相关图书推荐：https://www.jiaokey.com</w:t>
      </w:r>
    </w:p>
    <w:p>
      <w:r>
        <w:t>吴清源著；吴清仪译中国围棋协会审校 其他作品：https://www.jiaokey.com/tag/吴清源著；吴清仪译中国围棋协会审校.html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关键词搜索：https://www.jiaokey.com/tag/定式要领.html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