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药物新制剂的设计与开发 DDS系列制剂的设计</w:t>
      </w:r>
    </w:p>
    <w:p>
      <w:r>
        <w:rPr>
          <w:rFonts w:ascii="宋体" w:hAnsi="宋体" w:eastAsia="宋体"/>
          <w:sz w:val="24"/>
        </w:rPr>
        <w:t>（日）明治药科大学，野吕俊一著；张生，黄国礼译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药物新制剂的设计与开发 DDS系列制剂的设计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（日）明治药科大学，野吕俊一著；张生，黄国礼译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本书出售、求购地址：https://www.jiaokey.com/book/detail/10312255.html</w:t>
      </w:r>
    </w:p>
    <w:p>
      <w:r>
        <w:t>更多相关图书推荐：https://www.jiaokey.com</w:t>
      </w:r>
    </w:p>
    <w:p>
      <w:r>
        <w:t>（日）明治药科大学，野吕俊一著；张生，黄国礼译 其他作品：https://www.jiaokey.com/tag/（日）明治药科大学，野吕俊一著；张生，黄国礼译.html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关键词搜索：https://www.jiaokey.com/tag/药物新制剂的设计与开发 DDS系列制剂的设计.html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