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凯恩斯是垄断资本的思想家</w:t>
      </w:r>
    </w:p>
    <w:p>
      <w:r>
        <w:rPr>
          <w:rFonts w:ascii="宋体" w:hAnsi="宋体" w:eastAsia="宋体"/>
          <w:sz w:val="24"/>
        </w:rPr>
        <w:t>（苏）沃尔金（В.С.Володин）著；北京大学经济史经济学说教研室译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凯恩斯是垄断资本的思想家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（苏）沃尔金（В.С.Володин）著；北京大学经济史经济学说教研室译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本书出售、求购地址：https://www.jiaokey.com/book/detail/10328928.html</w:t>
      </w:r>
    </w:p>
    <w:p>
      <w:r>
        <w:t>更多相关图书推荐：https://www.jiaokey.com</w:t>
      </w:r>
    </w:p>
    <w:p>
      <w:r>
        <w:t>（苏）沃尔金（В.С.Володин）著；北京大学经济史经济学说教研室译 其他作品：https://www.jiaokey.com/tag/（苏）沃尔金（В.С.Володин）著；北京大学经济史经济学说教研室译.html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关键词搜索：https://www.jiaokey.com/tag/凯恩斯是垄断资本的思想家.html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