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出版物著录统一条例</w:t>
      </w:r>
    </w:p>
    <w:p>
      <w:r>
        <w:rPr>
          <w:rFonts w:ascii="宋体" w:hAnsi="宋体" w:eastAsia="宋体"/>
          <w:sz w:val="24"/>
        </w:rPr>
        <w:t>（苏）华西里夫斯卡娅，В.А.等编；刘国钧译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出版物著录统一条例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（苏）华西里夫斯卡娅，В.А.等编；刘国钧译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本书出售、求购地址：https://www.jiaokey.com/book/detail/10329660.html</w:t>
      </w:r>
    </w:p>
    <w:p>
      <w:r>
        <w:t>更多相关图书推荐：https://www.jiaokey.com</w:t>
      </w:r>
    </w:p>
    <w:p>
      <w:r>
        <w:t>（苏）华西里夫斯卡娅，В.А.等编；刘国钧译 其他作品：https://www.jiaokey.com/tag/（苏）华西里夫斯卡娅，В.А.等编；刘国钧译.html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关键词搜索：https://www.jiaokey.com/tag/出版物著录统一条例.html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