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美术摄影大纲</w:t>
      </w:r>
    </w:p>
    <w:p>
      <w:r>
        <w:rPr>
          <w:rFonts w:ascii="宋体" w:hAnsi="宋体" w:eastAsia="宋体"/>
          <w:sz w:val="24"/>
        </w:rPr>
        <w:t>罗伯古德沙尔原著；甘乃光编译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美术摄影大纲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罗伯古德沙尔原著；甘乃光编译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本书出售、求购地址：https://www.jiaokey.com/book/detail/10350184.html</w:t>
      </w:r>
    </w:p>
    <w:p>
      <w:r>
        <w:t>更多相关图书推荐：https://www.jiaokey.com</w:t>
      </w:r>
    </w:p>
    <w:p>
      <w:r>
        <w:t>罗伯古德沙尔原著；甘乃光编译 其他作品：https://www.jiaokey.com/tag/罗伯古德沙尔原著；甘乃光编译.html</w:t>
      </w:r>
    </w:p>
    <w:p>
      <w:r>
        <w:t>关键词搜索：https://www.jiaokey.com/tag/美术摄影大纲.html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