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如何制订工资与保护劳动</w:t>
      </w:r>
    </w:p>
    <w:p>
      <w:r>
        <w:rPr>
          <w:rFonts w:ascii="宋体" w:hAnsi="宋体" w:eastAsia="宋体"/>
          <w:sz w:val="24"/>
        </w:rPr>
        <w:t>н.з.赫尔明斯基в.Б采铁林，祝百英译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如何制订工资与保护劳动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н.з.赫尔明斯基в.Б采铁林，祝百英译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本书出售、求购地址：https://www.jiaokey.com/book/detail/10448482.html</w:t>
      </w:r>
    </w:p>
    <w:p>
      <w:r>
        <w:t>更多相关图书推荐：https://www.jiaokey.com</w:t>
      </w:r>
    </w:p>
    <w:p>
      <w:r>
        <w:t>н.з.赫尔明斯基в.Б采铁林，祝百英译 其他作品：https://www.jiaokey.com/tag/н.з.赫尔明斯基в.Б采铁林，祝百英译.html</w:t>
      </w:r>
    </w:p>
    <w:p>
      <w:r>
        <w:t>作家书屋 出版图书：https://www.jiaokey.com/tag/作家书屋.html</w:t>
      </w:r>
    </w:p>
    <w:p>
      <w:r>
        <w:t>关键词搜索：https://www.jiaokey.com/tag/如何制订工资与保护劳动.html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