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机构相马  宏观·行业·公司·技术</w:t>
      </w:r>
    </w:p>
    <w:p>
      <w:r>
        <w:rPr>
          <w:rFonts w:ascii="宋体" w:hAnsi="宋体" w:eastAsia="宋体"/>
          <w:sz w:val="24"/>
        </w:rPr>
        <w:t>申银万国证券研究所，成都银华投资资讯有限公司合著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机构相马  宏观·行业·公司·技术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申银万国证券研究所，成都银华投资资讯有限公司合著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研究)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本书出售、求购地址：https://www.jiaokey.com/book/detail/10469089.html</w:t>
      </w:r>
    </w:p>
    <w:p>
      <w:r>
        <w:t>更多相关图书推荐：https://www.jiaokey.com</w:t>
      </w:r>
    </w:p>
    <w:p>
      <w:r>
        <w:t>申银万国证券研究所，成都银华投资资讯有限公司合著 其他作品：https://www.jiaokey.com/tag/申银万国证券研究所，成都银华投资资讯有限公司合著.html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关键词搜索：https://www.jiaokey.com/tag/股票(学科: 证券交易 学科: 研究)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