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儿科护士教学大纲  基础课程  第四单元  记录</w:t>
      </w:r>
    </w:p>
    <w:p>
      <w:r>
        <w:rPr>
          <w:rFonts w:ascii="宋体" w:hAnsi="宋体" w:eastAsia="宋体"/>
          <w:sz w:val="24"/>
        </w:rPr>
        <w:t>苏珊·坎纳（SUSAN KINNEN，R.N.）等编写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儿科护士教学大纲  基础课程  第四单元  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苏珊·坎纳（SUSAN KINNEN，R.N.）等编写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本书出售、求购地址：https://www.jiaokey.com/book/detail/10654841.html</w:t>
      </w:r>
    </w:p>
    <w:p>
      <w:r>
        <w:t>更多相关图书推荐：https://www.jiaokey.com</w:t>
      </w:r>
    </w:p>
    <w:p>
      <w:r>
        <w:t>苏珊·坎纳（SUSAN KINNEN，R.N.）等编写 其他作品：https://www.jiaokey.com/tag/苏珊·坎纳（SUSAN KINNEN，R.N.）等编写.html</w:t>
      </w:r>
    </w:p>
    <w:p>
      <w:r>
        <w:t>关键词搜索：https://www.jiaokey.com/tag/儿科护士教学大纲  基础课程  第四单元  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