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中国古代财政史研究（夏、商、西周时期）</w:t>
      </w:r>
    </w:p>
    <w:p>
      <w:r>
        <w:rPr>
          <w:rFonts w:ascii="宋体" w:hAnsi="宋体" w:eastAsia="宋体"/>
          <w:sz w:val="24"/>
        </w:rPr>
        <w:t>吴才麟 文明 黄文模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中国古代财政史研究（夏、商、西周时期）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吴才麟 文明 黄文模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本书出售、求购地址：https://www.jiaokey.com/book/detail/10683056.html</w:t>
      </w:r>
    </w:p>
    <w:p>
      <w:r>
        <w:t>更多相关图书推荐：https://www.jiaokey.com</w:t>
      </w:r>
    </w:p>
    <w:p>
      <w:r>
        <w:t>吴才麟 文明 黄文模 其他作品：https://www.jiaokey.com/tag/吴才麟 文明 黄文模.html</w:t>
      </w:r>
    </w:p>
    <w:p>
      <w:r>
        <w:t>关键词搜索：https://www.jiaokey.com/tag/中国古代财政史研究（夏、商、西周时期）.html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