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（美）沃尔金巴克（P.H. Walgenbach）著；厦门大学经济系财务会计教研室译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（美）沃尔金巴克（P.H. Walgenbach）著；厦门大学经济系财务会计教研室译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本书出售、求购地址：https://www.jiaokey.com/book/detail/10692425.html</w:t>
      </w:r>
    </w:p>
    <w:p>
      <w:r>
        <w:t>更多相关图书推荐：https://www.jiaokey.com</w:t>
      </w:r>
    </w:p>
    <w:p>
      <w:r>
        <w:t>（美）沃尔金巴克（P.H. Walgenbach）著；厦门大学经济系财务会计教研室译 其他作品：https://www.jiaokey.com/tag/（美）沃尔金巴克（P.H. Walgenbach）著；厦门大学经济系财务会计教研室译.html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