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小儿心电图正常与异常判定标准</w:t>
      </w:r>
    </w:p>
    <w:p>
      <w:r>
        <w:rPr>
          <w:rFonts w:ascii="宋体" w:hAnsi="宋体" w:eastAsia="宋体"/>
          <w:sz w:val="24"/>
        </w:rPr>
        <w:t>马沛然等著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小儿心电图正常与异常判定标准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山东省人民医院山东省地方病防治研究所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本书出售、求购地址：https://www.jiaokey.com/book/detail/10820428.html</w:t>
      </w:r>
    </w:p>
    <w:p>
      <w:r>
        <w:t>更多相关图书推荐：https://www.jiaokey.com</w:t>
      </w:r>
    </w:p>
    <w:p>
      <w:r>
        <w:t>马沛然等著 其他作品：https://www.jiaokey.com/tag/马沛然等著.html</w:t>
      </w:r>
    </w:p>
    <w:p>
      <w:r>
        <w:t>山东省人民医院山东省地方病防治研究所 出版图书：https://www.jiaokey.com/tag/山东省人民医院山东省地方病防治研究所.html</w:t>
      </w:r>
    </w:p>
    <w:p>
      <w:r>
        <w:t>关键词搜索：https://www.jiaokey.com/tag/小儿心电图正常与异常判定标准.html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