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如何选择定式</w:t>
      </w:r>
    </w:p>
    <w:p>
      <w:r>
        <w:rPr>
          <w:rFonts w:ascii="宋体" w:hAnsi="宋体" w:eastAsia="宋体"/>
          <w:sz w:val="24"/>
        </w:rPr>
        <w:t>（日）大竹英雄著；王国柱，魏晨编译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如何选择定式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（日）大竹英雄著；王国柱，魏晨编译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本书出售、求购地址：https://www.jiaokey.com/book/detail/10827770.html</w:t>
      </w:r>
    </w:p>
    <w:p>
      <w:r>
        <w:t>更多相关图书推荐：https://www.jiaokey.com</w:t>
      </w:r>
    </w:p>
    <w:p>
      <w:r>
        <w:t>（日）大竹英雄著；王国柱，魏晨编译 其他作品：https://www.jiaokey.com/tag/（日）大竹英雄著；王国柱，魏晨编译.html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关键词搜索：https://www.jiaokey.com/tag/如何选择定式.html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