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斯大林论现代国际法的基本原则  35</w:t>
      </w:r>
    </w:p>
    <w:p>
      <w:r>
        <w:rPr>
          <w:rFonts w:ascii="宋体" w:hAnsi="宋体" w:eastAsia="宋体"/>
          <w:sz w:val="24"/>
        </w:rPr>
        <w:t>F·I·柯席乌尼科夫作；钱克新译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斯大林论现代国际法的基本原则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F·I·柯席乌尼科夫作；钱克新译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本书出售、求购地址：https://www.jiaokey.com/book/detail/10891752.html</w:t>
      </w:r>
    </w:p>
    <w:p>
      <w:r>
        <w:t>更多相关图书推荐：https://www.jiaokey.com</w:t>
      </w:r>
    </w:p>
    <w:p>
      <w:r>
        <w:t>F·I·柯席乌尼科夫作；钱克新译 其他作品：https://www.jiaokey.com/tag/F·I·柯席乌尼科夫作；钱克新译.html</w:t>
      </w:r>
    </w:p>
    <w:p>
      <w:r>
        <w:t>上海世界知识社 出版图书：https://www.jiaokey.com/tag/上海世界知识社.html</w:t>
      </w:r>
    </w:p>
    <w:p>
      <w:r>
        <w:t>关键词搜索：https://www.jiaokey.com/tag/斯大林论现代国际法的基本原则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