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资源与环境信息系统国家规范</w:t>
      </w:r>
    </w:p>
    <w:p>
      <w:r>
        <w:rPr>
          <w:rFonts w:ascii="宋体" w:hAnsi="宋体" w:eastAsia="宋体"/>
          <w:sz w:val="24"/>
        </w:rPr>
        <w:t>国家科委基础研究和新技术局，资源与环境信息系统国家规范研究组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5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资源与环境信息系统国家规范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国家科委基础研究和新技术局，资源与环境信息系统国家规范研究组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本书出售、求购地址：https://www.jiaokey.com/book/detail/10905652.html</w:t>
      </w:r>
    </w:p>
    <w:p>
      <w:r>
        <w:t>更多相关图书推荐：https://www.jiaokey.com</w:t>
      </w:r>
    </w:p>
    <w:p>
      <w:r>
        <w:t>国家科委基础研究和新技术局，资源与环境信息系统国家规范研究组 其他作品：https://www.jiaokey.com/tag/国家科委基础研究和新技术局，资源与环境信息系统国家规范研究组.html</w:t>
      </w:r>
    </w:p>
    <w:p>
      <w:r>
        <w:t>关键词搜索：https://www.jiaokey.com/tag/资源与环境信息系统国家规范.html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