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郭瓦廖夫工作法</w:t>
      </w:r>
    </w:p>
    <w:p>
      <w:r>
        <w:rPr>
          <w:rFonts w:ascii="宋体" w:hAnsi="宋体" w:eastAsia="宋体"/>
          <w:sz w:val="24"/>
        </w:rPr>
        <w:t>钱江编；章自强，叶春阳绘图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郭瓦廖夫工作法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钱江编；章自强，叶春阳绘图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本书出售、求购地址：https://www.jiaokey.com/book/detail/10910827.html</w:t>
      </w:r>
    </w:p>
    <w:p>
      <w:r>
        <w:t>更多相关图书推荐：https://www.jiaokey.com</w:t>
      </w:r>
    </w:p>
    <w:p>
      <w:r>
        <w:t>钱江编；章自强，叶春阳绘图 其他作品：https://www.jiaokey.com/tag/钱江编；章自强，叶春阳绘图.html</w:t>
      </w:r>
    </w:p>
    <w:p>
      <w:r>
        <w:t>工人出版社 出版图书：https://www.jiaokey.com/tag/工人出版社.html</w:t>
      </w:r>
    </w:p>
    <w:p>
      <w:r>
        <w:t>关键词搜索：https://www.jiaokey.com/tag/郭瓦廖夫工作法.html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