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鸳鸯针</w:t>
      </w:r>
    </w:p>
    <w:p>
      <w:r>
        <w:rPr>
          <w:rFonts w:ascii="宋体" w:hAnsi="宋体" w:eastAsia="宋体"/>
          <w:sz w:val="24"/>
        </w:rPr>
        <w:t>（明）华阳散人编辑；（清）吴沃尧撰；（清）惠水安阳酒民著；（清）西山灌菊散人评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（明）华阳散人编辑；（清）吴沃尧撰；（清）惠水安阳酒民著；（清）西山灌菊散人评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本书出售、求购地址：https://www.jiaokey.com/book/detail/10919986.html</w:t>
      </w:r>
    </w:p>
    <w:p>
      <w:r>
        <w:t>更多相关图书推荐：https://www.jiaokey.com</w:t>
      </w:r>
    </w:p>
    <w:p>
      <w:r>
        <w:t>（明）华阳散人编辑；（清）吴沃尧撰；（清）惠水安阳酒民著；（清）西山灌菊散人评 其他作品：https://www.jiaokey.com/tag/（明）华阳散人编辑；（清）吴沃尧撰；（清）惠水安阳酒民著；（清）西山灌菊散人评.html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关键词搜索：https://www.jiaokey.com/tag/鸳鸯针.html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