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怎样使用微机汉字数据库db4</w:t>
      </w:r>
    </w:p>
    <w:p>
      <w:r>
        <w:rPr>
          <w:rFonts w:ascii="宋体" w:hAnsi="宋体" w:eastAsia="宋体"/>
          <w:sz w:val="24"/>
        </w:rPr>
        <w:t>刘凯，任干生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怎样使用微机汉字数据库db4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刘凯，任干生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本书出售、求购地址：https://www.jiaokey.com/book/detail/10952956.html</w:t>
      </w:r>
    </w:p>
    <w:p>
      <w:r>
        <w:t>更多相关图书推荐：https://www.jiaokey.com</w:t>
      </w:r>
    </w:p>
    <w:p>
      <w:r>
        <w:t>刘凯，任干生 其他作品：https://www.jiaokey.com/tag/刘凯，任干生.html</w:t>
      </w:r>
    </w:p>
    <w:p>
      <w:r>
        <w:t>陕西电子编辑部 出版图书：https://www.jiaokey.com/tag/陕西电子编辑部.html</w:t>
      </w:r>
    </w:p>
    <w:p>
      <w:r>
        <w:t>关键词搜索：https://www.jiaokey.com/tag/怎样使用微机汉字数据库db4.html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