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世界经济中的富国与穷国</w:t>
      </w:r>
    </w:p>
    <w:p>
      <w:r>
        <w:rPr>
          <w:rFonts w:ascii="宋体" w:hAnsi="宋体" w:eastAsia="宋体"/>
          <w:sz w:val="24"/>
        </w:rPr>
        <w:t>费希罗，戴兹等著；中山学术文化基金董事会编译；钮先钟译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世界经济中的富国与穷国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费希罗，戴兹等著；中山学术文化基金董事会编译；钮先钟译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本书出售、求购地址：https://www.jiaokey.com/book/detail/10967253.html</w:t>
      </w:r>
    </w:p>
    <w:p>
      <w:r>
        <w:t>更多相关图书推荐：https://www.jiaokey.com</w:t>
      </w:r>
    </w:p>
    <w:p>
      <w:r>
        <w:t>费希罗，戴兹等著；中山学术文化基金董事会编译；钮先钟译 其他作品：https://www.jiaokey.com/tag/费希罗，戴兹等著；中山学术文化基金董事会编译；钮先钟译.html</w:t>
      </w:r>
    </w:p>
    <w:p>
      <w:r>
        <w:t>关键词搜索：https://www.jiaokey.com/tag/世界经济中的富国与穷国.html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