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政治体制改革基本问题探讨</w:t>
      </w:r>
    </w:p>
    <w:p>
      <w:r>
        <w:rPr>
          <w:rFonts w:ascii="宋体" w:hAnsi="宋体" w:eastAsia="宋体"/>
          <w:sz w:val="24"/>
        </w:rPr>
        <w:t>迟福林，李永春等著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政治体制改革基本问题探讨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迟福林，李永春等著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北京：春秋出版社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本书出售、求购地址：https://www.jiaokey.com/book/detail/10969412.html</w:t>
      </w:r>
    </w:p>
    <w:p>
      <w:r>
        <w:t>更多相关图书推荐：https://www.jiaokey.com</w:t>
      </w:r>
    </w:p>
    <w:p>
      <w:r>
        <w:t>迟福林，李永春等著 其他作品：https://www.jiaokey.com/tag/迟福林，李永春等著.html</w:t>
      </w:r>
    </w:p>
    <w:p>
      <w:r>
        <w:t>北京：春秋出版社 出版图书：https://www.jiaokey.com/tag/北京：春秋出版社.html</w:t>
      </w:r>
    </w:p>
    <w:p>
      <w:r>
        <w:t>关键词搜索：https://www.jiaokey.com/tag/政治体制改革基本问题探讨.html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