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河流在燃烧</w:t>
      </w:r>
    </w:p>
    <w:p>
      <w:r>
        <w:rPr>
          <w:rFonts w:ascii="宋体" w:hAnsi="宋体" w:eastAsia="宋体"/>
          <w:sz w:val="24"/>
        </w:rPr>
        <w:t>万逹·瓦西列芙斯卡雅著；石光，马清槐，郭一民译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河流在燃烧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万逹·瓦西列芙斯卡雅著；石光，马清槐，郭一民译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本书出售、求购地址：https://www.jiaokey.com/book/detail/10993147.html</w:t>
      </w:r>
    </w:p>
    <w:p>
      <w:r>
        <w:t>更多相关图书推荐：https://www.jiaokey.com</w:t>
      </w:r>
    </w:p>
    <w:p>
      <w:r>
        <w:t>万逹·瓦西列芙斯卡雅著；石光，马清槐，郭一民译 其他作品：https://www.jiaokey.com/tag/万逹·瓦西列芙斯卡雅著；石光，马清槐，郭一民译.html</w:t>
      </w:r>
    </w:p>
    <w:p>
      <w:r>
        <w:t>时代出版社 出版图书：https://www.jiaokey.com/tag/时代出版社.html</w:t>
      </w:r>
    </w:p>
    <w:p>
      <w:r>
        <w:t>关键词搜索：https://www.jiaokey.com/tag/河流在燃烧.html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