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全国渔业资源调查和区划专著之二  中国海洋渔业区划  第7章  渔业区划工作今后的任务</w:t>
      </w:r>
    </w:p>
    <w:p>
      <w:r>
        <w:rPr>
          <w:rFonts w:ascii="宋体" w:hAnsi="宋体" w:eastAsia="宋体"/>
          <w:sz w:val="24"/>
        </w:rPr>
        <w:t>刘效舜主编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全国渔业资源调查和区划专著之二  中国海洋渔业区划  第7章  渔业区划工作今后的任务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刘效舜主编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本书出售、求购地址：https://www.jiaokey.com/book/detail/10996090.html</w:t>
      </w:r>
    </w:p>
    <w:p>
      <w:r>
        <w:t>更多相关图书推荐：https://www.jiaokey.com</w:t>
      </w:r>
    </w:p>
    <w:p>
      <w:r>
        <w:t>刘效舜主编 其他作品：https://www.jiaokey.com/tag/刘效舜主编.html</w:t>
      </w:r>
    </w:p>
    <w:p>
      <w:r>
        <w:t>关键词搜索：https://www.jiaokey.com/tag/全国渔业资源调查和区划专著之二  中国海洋渔业区划  第7章  渔业区划工作今后的任务.html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