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</w:t>
      </w:r>
    </w:p>
    <w:p>
      <w:r>
        <w:rPr>
          <w:rFonts w:ascii="宋体" w:hAnsi="宋体" w:eastAsia="宋体"/>
          <w:sz w:val="24"/>
        </w:rPr>
        <w:t>（苏）包洛文金（А.А.Половинкин）撰；王继麟，金世柏译；东北人民政府文化教育委员会编辑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（苏）包洛文金（А.А.Половинкин）撰；王继麟，金世柏译；东北人民政府文化教育委员会编辑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本书出售、求购地址：https://www.jiaokey.com/book/detail/11005486.html</w:t>
      </w:r>
    </w:p>
    <w:p>
      <w:r>
        <w:t>更多相关图书推荐：https://www.jiaokey.com</w:t>
      </w:r>
    </w:p>
    <w:p>
      <w:r>
        <w:t>（苏）包洛文金（А.А.Половинкин）撰；王继麟，金世柏译；东北人民政府文化教育委员会编辑 其他作品：https://www.jiaokey.com/tag/（苏）包洛文金（А.А.Половинкин）撰；王继麟，金世柏译；东北人民政府文化教育委员会编辑.html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关键词搜索：https://www.jiaokey.com/tag/普通自然地理.html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