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回归初衷：黄埔名将李默庵之路</w:t>
      </w:r>
    </w:p>
    <w:p>
      <w:r>
        <w:rPr>
          <w:rFonts w:ascii="宋体" w:hAnsi="宋体" w:eastAsia="宋体"/>
          <w:sz w:val="24"/>
        </w:rPr>
        <w:t>刘育钢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回归初衷：黄埔名将李默庵之路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香港拓文出版社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本书出售、求购地址：https://www.jiaokey.com/book/detail/11010100.html</w:t>
      </w:r>
    </w:p>
    <w:p>
      <w:r>
        <w:t>更多相关图书推荐：https://www.jiaokey.com</w:t>
      </w:r>
    </w:p>
    <w:p>
      <w:r>
        <w:t>刘育钢 其他作品：https://www.jiaokey.com/tag/刘育钢.html</w:t>
      </w:r>
    </w:p>
    <w:p>
      <w:r>
        <w:t>香港拓文出版社 出版图书：https://www.jiaokey.com/tag/香港拓文出版社.html</w:t>
      </w:r>
    </w:p>
    <w:p>
      <w:r>
        <w:t>关键词搜索：https://www.jiaokey.com/tag/回归初衷：黄埔名将李默庵之路.html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