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戴氏岭南乾公天则世系番禺赤山房史考</w:t>
      </w:r>
    </w:p>
    <w:p>
      <w:r>
        <w:rPr>
          <w:rFonts w:ascii="宋体" w:hAnsi="宋体" w:eastAsia="宋体"/>
          <w:sz w:val="24"/>
        </w:rPr>
        <w:t>戴国雄编著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戴氏岭南乾公天则世系番禺赤山房史考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广州市玛雅传播策划有限公司制作策划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本书出售、求购地址：https://www.jiaokey.com/book/detail/11014252.html</w:t>
      </w:r>
    </w:p>
    <w:p>
      <w:r>
        <w:t>更多相关图书推荐：https://www.jiaokey.com</w:t>
      </w:r>
    </w:p>
    <w:p>
      <w:r>
        <w:t>戴国雄编著 其他作品：https://www.jiaokey.com/tag/戴国雄编著.html</w:t>
      </w:r>
    </w:p>
    <w:p>
      <w:r>
        <w:t>广州市玛雅传播策划有限公司制作策划 出版图书：https://www.jiaokey.com/tag/广州市玛雅传播策划有限公司制作策划.html</w:t>
      </w:r>
    </w:p>
    <w:p>
      <w:r>
        <w:t>关键词搜索：https://www.jiaokey.com/tag/戴氏岭南乾公天则世系番禺赤山房史考.html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