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书名：晚唐诗歌格局中的许浑创作论</w:t>
      </w:r>
    </w:p>
    <w:p>
      <w:r>
        <w:t>作者：罗时进著</w:t>
      </w:r>
    </w:p>
    <w:p>
      <w:r>
        <w:t>出版社：西安：太白文艺出版社</w:t>
      </w:r>
    </w:p>
    <w:p>
      <w:r>
        <w:t>出版日期：1998.08</w:t>
      </w:r>
    </w:p>
    <w:p>
      <w:r>
        <w:t>总页数：301</w:t>
      </w:r>
    </w:p>
    <w:p>
      <w:r>
        <w:t>更多请访问教客网: www.jiaokey.com</w:t>
      </w:r>
    </w:p>
    <w:p>
      <w:r>
        <w:t>晚唐诗歌格局中的许浑创作论 评论地址：https://www.jiaokey.com/book/detail/11014256.html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