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小河建筑物设计的水文计算  方法原理与实践</w:t>
      </w:r>
    </w:p>
    <w:p>
      <w:r>
        <w:rPr>
          <w:rFonts w:ascii="宋体" w:hAnsi="宋体" w:eastAsia="宋体"/>
          <w:sz w:val="24"/>
        </w:rPr>
        <w:t>（苏）沃斯克列先斯基（К.П.Воскресенский）著；徐在庸等译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小河建筑物设计的水文计算  方法原理与实践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（苏）沃斯克列先斯基（К.П.Воскресенский）著；徐在庸等译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本书出售、求购地址：https://www.jiaokey.com/book/detail/11044014.html</w:t>
      </w:r>
    </w:p>
    <w:p>
      <w:r>
        <w:t>更多相关图书推荐：https://www.jiaokey.com</w:t>
      </w:r>
    </w:p>
    <w:p>
      <w:r>
        <w:t>（苏）沃斯克列先斯基（К.П.Воскресенский）著；徐在庸等译 其他作品：https://www.jiaokey.com/tag/（苏）沃斯克列先斯基（К.П.Воскресенский）著；徐在庸等译.html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关键词搜索：https://www.jiaokey.com/tag/小河建筑物设计的水文计算  方法原理与实践.html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