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文艺复兴与航海时代</w:t>
      </w:r>
    </w:p>
    <w:p>
      <w:r>
        <w:rPr>
          <w:rFonts w:ascii="宋体" w:hAnsi="宋体" w:eastAsia="宋体"/>
          <w:sz w:val="24"/>
        </w:rPr>
        <w:t>（韩）朴淳和绘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文艺复兴与航海时代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本书出售、求购地址：https://www.jiaokey.com/book/detail/11052820.html</w:t>
      </w:r>
    </w:p>
    <w:p>
      <w:r>
        <w:t>更多相关图书推荐：https://www.jiaokey.com</w:t>
      </w:r>
    </w:p>
    <w:p>
      <w:r>
        <w:t>（韩）朴淳和绘 其他作品：https://www.jiaokey.com/tag/（韩）朴淳和绘.html</w:t>
      </w:r>
    </w:p>
    <w:p>
      <w:r>
        <w:t>延边人民出版社 出版图书：https://www.jiaokey.com/tag/延边人民出版社.html</w:t>
      </w:r>
    </w:p>
    <w:p>
      <w:r>
        <w:t>关键词搜索：https://www.jiaokey.com/tag/文艺复兴与航海时代.html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